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7" w:rsidRDefault="004F39F6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ПЛАН ЗАКУПКИ ТОВАРОВ (РАБОТ, УСЛУГ)</w:t>
      </w:r>
    </w:p>
    <w:p w:rsidR="00121347" w:rsidRDefault="004F39F6">
      <w:pPr>
        <w:spacing w:after="0"/>
        <w:jc w:val="center"/>
      </w:pPr>
      <w:r>
        <w:rPr>
          <w:rFonts w:ascii="Times New Roman" w:eastAsia="Times New Roman" w:hAnsi="Times New Roman" w:cs="Times New Roman"/>
        </w:rPr>
        <w:t>на 2023 год (на период с 01.01.2023 по 31.12.2023)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6"/>
        <w:gridCol w:w="12224"/>
      </w:tblGrid>
      <w:tr w:rsidR="0012134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Наименование заказчика</w:t>
            </w:r>
          </w:p>
        </w:tc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"Школа инженерной мысли им. П.А. Соловьева" г. Перми</w:t>
            </w:r>
          </w:p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614111, 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Пермь, проезд Серебрянский, 9</w:t>
            </w:r>
          </w:p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Телефон заказчика</w:t>
            </w:r>
          </w:p>
        </w:tc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89026415045</w:t>
            </w:r>
          </w:p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ok.7313@yandex.ru</w:t>
            </w:r>
          </w:p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5904100625</w:t>
            </w:r>
          </w:p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590401001</w:t>
            </w:r>
          </w:p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ОКАТО</w:t>
            </w:r>
          </w:p>
        </w:tc>
        <w:tc>
          <w:tcPr>
            <w:tcW w:w="0" w:type="auto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57401380</w:t>
            </w:r>
          </w:p>
        </w:tc>
      </w:tr>
    </w:tbl>
    <w:p w:rsidR="00121347" w:rsidRDefault="00121347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"/>
        <w:gridCol w:w="571"/>
        <w:gridCol w:w="850"/>
        <w:gridCol w:w="1593"/>
        <w:gridCol w:w="1014"/>
        <w:gridCol w:w="426"/>
        <w:gridCol w:w="705"/>
        <w:gridCol w:w="850"/>
        <w:gridCol w:w="995"/>
        <w:gridCol w:w="995"/>
        <w:gridCol w:w="1843"/>
        <w:gridCol w:w="850"/>
        <w:gridCol w:w="850"/>
        <w:gridCol w:w="2123"/>
        <w:gridCol w:w="358"/>
        <w:gridCol w:w="821"/>
        <w:gridCol w:w="652"/>
      </w:tblGrid>
      <w:tr w:rsidR="000F5272" w:rsidTr="000F5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Порядковый номер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ОКВЭД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proofErr w:type="gramEnd"/>
          </w:p>
        </w:tc>
        <w:tc>
          <w:tcPr>
            <w:tcW w:w="3600" w:type="dxa"/>
            <w:gridSpan w:val="10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Условия договора</w:t>
            </w:r>
          </w:p>
        </w:tc>
        <w:tc>
          <w:tcPr>
            <w:tcW w:w="2200" w:type="dxa"/>
            <w:vMerge w:val="restart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Способ закупки</w:t>
            </w:r>
          </w:p>
        </w:tc>
        <w:tc>
          <w:tcPr>
            <w:tcW w:w="37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в электронной форме (Да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ет)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Объем финансового обеспечения закупки за счет средств субсидии, предоставляемой в целях реализации национальных и федеральных проектов, комплексного плана модернизации и расширения магистральной инфраст</w:t>
            </w:r>
            <w:r>
              <w:rPr>
                <w:rFonts w:ascii="Times New Roman" w:eastAsia="Times New Roman" w:hAnsi="Times New Roman" w:cs="Times New Roman"/>
                <w:sz w:val="16"/>
              </w:rPr>
              <w:t>руктуры*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целевой статьи расходов, код вида расходов*</w:t>
            </w:r>
          </w:p>
        </w:tc>
      </w:tr>
      <w:tr w:rsidR="000F5272" w:rsidTr="000F5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165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 договора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Минимально необходимые требования, предъявляемые к закупаемым товарам, работам</w:t>
            </w:r>
          </w:p>
        </w:tc>
        <w:tc>
          <w:tcPr>
            <w:tcW w:w="1170" w:type="dxa"/>
            <w:gridSpan w:val="2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Единица измерения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количестве (объеме)</w:t>
            </w:r>
          </w:p>
        </w:tc>
        <w:tc>
          <w:tcPr>
            <w:tcW w:w="2060" w:type="dxa"/>
            <w:gridSpan w:val="2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Регион поставки товаров, выполнения работ, </w:t>
            </w:r>
            <w:r>
              <w:rPr>
                <w:rFonts w:ascii="Times New Roman" w:eastAsia="Times New Roman" w:hAnsi="Times New Roman" w:cs="Times New Roman"/>
                <w:sz w:val="16"/>
              </w:rPr>
              <w:t>оказания услуг</w:t>
            </w:r>
          </w:p>
        </w:tc>
        <w:tc>
          <w:tcPr>
            <w:tcW w:w="191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1760" w:type="dxa"/>
            <w:gridSpan w:val="2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График осуществления процедур закупки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44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ОКЕИ</w:t>
            </w:r>
          </w:p>
        </w:tc>
        <w:tc>
          <w:tcPr>
            <w:tcW w:w="73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103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ОКАТО</w:t>
            </w:r>
          </w:p>
        </w:tc>
        <w:tc>
          <w:tcPr>
            <w:tcW w:w="103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88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8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исполнения договора (месяц, год)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</w:tbl>
    <w:p w:rsidR="00121347" w:rsidRDefault="004F39F6">
      <w:pPr>
        <w:spacing w:after="0" w:line="20" w:lineRule="exact"/>
      </w:pPr>
      <w:r>
        <w:rPr>
          <w:sz w:val="2"/>
        </w:rPr>
        <w:t xml:space="preserve">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566"/>
        <w:gridCol w:w="843"/>
        <w:gridCol w:w="1580"/>
        <w:gridCol w:w="1006"/>
        <w:gridCol w:w="423"/>
        <w:gridCol w:w="700"/>
        <w:gridCol w:w="843"/>
        <w:gridCol w:w="987"/>
        <w:gridCol w:w="987"/>
        <w:gridCol w:w="1829"/>
        <w:gridCol w:w="843"/>
        <w:gridCol w:w="843"/>
        <w:gridCol w:w="2106"/>
        <w:gridCol w:w="356"/>
        <w:gridCol w:w="815"/>
        <w:gridCol w:w="647"/>
      </w:tblGrid>
      <w:tr w:rsidR="00121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7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35.30.2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35.30.11.120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Снабжение тепловой энергией в горячей воде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через присоединенную сеть тепловую энергию в горячей сетевой воде (мощность)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238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Гигакалория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6"/>
              </w:rPr>
              <w:t>час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1 157,79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4 000 000,00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2021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- 3 750 000,00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- 250 000,00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36.00.2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36.00.20.130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Горячее водоснабжение 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Подача горячей воды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присоединенную водопроводную сеть из закрытых централизованных систем горячего водоснабжения.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Качество воды не должно быть ниже показателей, установленных законодательством РФ в области обеспечения санитарно-эпидемиологического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благополучия населения.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Кубический метр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1 500,00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250 000,00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2021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- 200 000,00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- 50 000,00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12.2021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38.21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38.21.10.000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обеспечению транспортирования ТБО, обработки, обезвреживания, захоронение в соответствии с законодательством Российской Федерации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Килограмм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16 065,50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109 177,54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2021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- 100 000,00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- 9 177,54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56.29.2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56.29.20.120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Услуги по организации основного (горячего) питания и бесплатного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Услуги оказываются в течение 80 дней.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Качество услуг должно соответствовать требованиям,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установленным: СанПиН 2.4.5.2409-08; СанПиН 2.3.2.1324-03; СанПиН 2.3.6.1079-01; ГОСТ 30390-2013;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 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ГОСТ 31984-2012 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540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Человеко-день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86 640,00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6 533 195,20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2020 г. - 5 000 000,00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2021 г. - 1 000 000,00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- 500 000,00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- 33 195,20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5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36.00.2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36.00.20.130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Холодное </w:t>
            </w:r>
            <w:r>
              <w:rPr>
                <w:rFonts w:ascii="Times New Roman" w:eastAsia="Times New Roman" w:hAnsi="Times New Roman" w:cs="Times New Roman"/>
                <w:sz w:val="16"/>
              </w:rPr>
              <w:t>водоснабжение и водоотведение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Подача холодной (питьевой) воды через присоединенную водопроводную сеть из централизованных систем холодного водоснабжения.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Качество воды не должно быть ниже показателей, установленных законодательством РФ в области обеспеч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ения санитарно-эпидемиологического благополучия населения. 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Кубический метр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2 550,00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600 000,00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2021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- 550 000,00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- 50 000,00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12.2021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  <w:vMerge w:val="restart"/>
          </w:tcPr>
          <w:p w:rsidR="00121347" w:rsidRDefault="00121347"/>
        </w:tc>
        <w:tc>
          <w:tcPr>
            <w:tcW w:w="360" w:type="dxa"/>
            <w:vMerge w:val="restart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37.00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37.00.11.110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Кубический метр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3 549,00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37.00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37.00.11.110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Холодное водоснабжение и водоотведение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Подача холодной (питьевой) воды через присоединенную водопроводную сеть из централизованных систем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холодного водоснабжения.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Качество воды не должно быть ниже показателей, установленных законодательством РФ в области обеспечения санитарно-эпидемиологичес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кого благополучия населения. 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1 108 052,00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- 584 860,00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- 49 849,00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  <w:vMerge w:val="restart"/>
          </w:tcPr>
          <w:p w:rsidR="00121347" w:rsidRDefault="00121347"/>
        </w:tc>
        <w:tc>
          <w:tcPr>
            <w:tcW w:w="360" w:type="dxa"/>
            <w:vMerge w:val="restart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36.00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36.00.20.130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81.10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81.10.10.000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7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80.10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80.10.1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Оказание охранных </w:t>
            </w:r>
            <w:r>
              <w:rPr>
                <w:rFonts w:ascii="Times New Roman" w:eastAsia="Times New Roman" w:hAnsi="Times New Roman" w:cs="Times New Roman"/>
                <w:sz w:val="16"/>
              </w:rPr>
              <w:t>услуг  в МАОУ "Школа инженерной мысли им. П.А. Соловьева" г. Перми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осуществление контрольно-пропускного режима; поддержание общественного порядка в помещении Заказчика и на прилегающей территории для выявления и предотвращения противоправных действий разли</w:t>
            </w:r>
            <w:r>
              <w:rPr>
                <w:rFonts w:ascii="Times New Roman" w:eastAsia="Times New Roman" w:hAnsi="Times New Roman" w:cs="Times New Roman"/>
                <w:sz w:val="16"/>
              </w:rPr>
              <w:t>чного характера; обеспечение сохранности имущества и материально-технической базы Заказчика, антитеррористической защищенност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 и соблюдению на объекте правил пожарной безопасности.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356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Час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11 500,19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4 045 559,84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sz w:val="16"/>
              </w:rPr>
              <w:t>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- 1 992 840,00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- 146 196,00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8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62.02.30.000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технической поддержке сайта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требованиями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установленными в договоре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67 200,00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- 61 600,00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- 5 600,00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33.12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33.12.29.900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технической эксплуатации узла учета тепловой энергии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20 400,00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- 18 700,00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- 1 700,00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95.11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95.11.10.190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обслуживанию компьютерной техники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оказываются в соответствии с Договором осуществление технического обслуживания и ремонта оборудования в строгом соответствии с установленной эксплуатационной документацией заводом-изготовителе</w:t>
            </w:r>
            <w:r>
              <w:rPr>
                <w:rFonts w:ascii="Times New Roman" w:eastAsia="Times New Roman" w:hAnsi="Times New Roman" w:cs="Times New Roman"/>
                <w:sz w:val="16"/>
              </w:rPr>
              <w:t>м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164 000,00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- 149 000,00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- 15 000,00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</w:rPr>
              <w:t>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81.29.11.000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Выполнение биотехнических работ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Работы выполняются в соответствии с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3.3686-21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055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Квадратный метр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14 423,00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80 130,61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</w:t>
            </w:r>
            <w:r>
              <w:rPr>
                <w:rFonts w:ascii="Times New Roman" w:eastAsia="Times New Roman" w:hAnsi="Times New Roman" w:cs="Times New Roman"/>
                <w:sz w:val="16"/>
              </w:rPr>
              <w:t>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- 73 873,73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- 6 256,88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11.2022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  <w:vMerge w:val="restart"/>
          </w:tcPr>
          <w:p w:rsidR="00121347" w:rsidRDefault="00121347"/>
        </w:tc>
        <w:tc>
          <w:tcPr>
            <w:tcW w:w="360" w:type="dxa"/>
            <w:vMerge w:val="restart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81.29.11.000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055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Квадратный метр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8 938,40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35.30.2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35.30.12.130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Горячее водоснабжение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Подача горячей воды через присоединенную водопроводную сеть из закрытых централизованных систем горячего водоснабжения.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Качество воды не должно быть ниже показателей, установленных законодательством РФ в области обеспечения санитарно-эпидемиологическог</w:t>
            </w:r>
            <w:r>
              <w:rPr>
                <w:rFonts w:ascii="Times New Roman" w:eastAsia="Times New Roman" w:hAnsi="Times New Roman" w:cs="Times New Roman"/>
                <w:sz w:val="16"/>
              </w:rPr>
              <w:t>о благополучия населения.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Кубический метр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191,10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350 000,00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- 30 227,68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05.2022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</w:t>
            </w:r>
            <w:r>
              <w:rPr>
                <w:rFonts w:ascii="Times New Roman" w:eastAsia="Times New Roman" w:hAnsi="Times New Roman" w:cs="Times New Roman"/>
                <w:sz w:val="16"/>
              </w:rPr>
              <w:t>исполнителя)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  <w:vMerge w:val="restart"/>
          </w:tcPr>
          <w:p w:rsidR="00121347" w:rsidRDefault="00121347"/>
        </w:tc>
        <w:tc>
          <w:tcPr>
            <w:tcW w:w="360" w:type="dxa"/>
            <w:vMerge w:val="restart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35.30.2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35.30.12.130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Гигакалория</w:t>
            </w:r>
            <w:proofErr w:type="spellEnd"/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10,37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80.20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80.20.10.000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Комплексная защита объекта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Поддержание в работоспособном состоянии систем видеонаблюдения, охранной и пожарной сигнализаций 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306 000,00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- 280 500,00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- 25 000,00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95.11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95.11.10.190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16"/>
              </w:rPr>
              <w:t>по обслуживанию компьютерной техники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Услуги оказываются в соответствии с Договором осуществление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технического обслуживания и ремонта оборудования в строгом соответствии с установленной эксплуатационной документацией заводом-изготовителем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</w:t>
            </w:r>
            <w:r>
              <w:rPr>
                <w:rFonts w:ascii="Times New Roman" w:eastAsia="Times New Roman" w:hAnsi="Times New Roman" w:cs="Times New Roman"/>
                <w:sz w:val="16"/>
              </w:rPr>
              <w:t>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164 000,00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2021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2023 г. - 15 000,00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12.2021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80.20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80.20.10.000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Комплексная защита объекта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Поддержание в работоспособном состоянии систем видеонаблюдения, охранной и пожарной сигнализаций в МАОУ "Школа инженерной мысли им. П.А. Соловьева" г. Перми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расположенного по адресу: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г. Пермь, Серебрянский проезд, д. 8,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г. Пе</w:t>
            </w:r>
            <w:r>
              <w:rPr>
                <w:rFonts w:ascii="Times New Roman" w:eastAsia="Times New Roman" w:hAnsi="Times New Roman" w:cs="Times New Roman"/>
                <w:sz w:val="16"/>
              </w:rPr>
              <w:t>рмь, Серебрянский проезд, д. 9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291 600,00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2021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- 24 300,00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</w:t>
            </w:r>
            <w:r>
              <w:rPr>
                <w:rFonts w:ascii="Times New Roman" w:eastAsia="Times New Roman" w:hAnsi="Times New Roman" w:cs="Times New Roman"/>
                <w:sz w:val="16"/>
              </w:rPr>
              <w:t>ядчика, исполнителя)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81.10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81.10.10.000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Оказание услуг по комплексной уборке помещений и прилегающей территории, гардеробному обслуживанию для МАОУ «Школа инженерной мысли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им. П.А. Соловьева» г. Перми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Услуги оказываются в соответствии с ГОСТ </w:t>
            </w:r>
            <w:r>
              <w:rPr>
                <w:rFonts w:ascii="Times New Roman" w:eastAsia="Times New Roman" w:hAnsi="Times New Roman" w:cs="Times New Roman"/>
                <w:sz w:val="16"/>
              </w:rPr>
              <w:t>Р5870-2014 Услуги профессиональной уборки-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клининговые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услуги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6 881 300,01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- 3 741 573,00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- 1 093 851,00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10.2022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</w:t>
            </w:r>
            <w:r>
              <w:rPr>
                <w:rFonts w:ascii="Times New Roman" w:eastAsia="Times New Roman" w:hAnsi="Times New Roman" w:cs="Times New Roman"/>
                <w:sz w:val="16"/>
              </w:rPr>
              <w:t>024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121347" w:rsidRDefault="00121347"/>
        </w:tc>
        <w:tc>
          <w:tcPr>
            <w:tcW w:w="360" w:type="dxa"/>
            <w:vMerge w:val="restart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81.29.9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81.29.19.000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81.29.9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81.29.19.000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</w:tbl>
    <w:p w:rsidR="00121347" w:rsidRDefault="00121347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0"/>
      </w:tblGrid>
      <w:tr w:rsidR="0012134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121347" w:rsidRDefault="004F39F6">
            <w:pPr>
              <w:spacing w:after="0"/>
              <w:ind w:hanging="1"/>
            </w:pPr>
            <w:r>
              <w:rPr>
                <w:rFonts w:ascii="Times New Roman" w:eastAsia="Times New Roman" w:hAnsi="Times New Roman" w:cs="Times New Roman"/>
              </w:rPr>
              <w:t xml:space="preserve">Участие субъектов малого и </w:t>
            </w:r>
            <w:r>
              <w:rPr>
                <w:rFonts w:ascii="Times New Roman" w:eastAsia="Times New Roman" w:hAnsi="Times New Roman" w:cs="Times New Roman"/>
              </w:rPr>
              <w:t>среднего предпринимательства в закупках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Совокупный годовой стоимостный объем договоров, заключенных заказчиком по результатам закупки инновационной продукции, высокотехнологичной продукции за 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Годовой</w:t>
            </w:r>
            <w:r>
              <w:rPr>
                <w:rFonts w:ascii="Times New Roman" w:eastAsia="Times New Roman" w:hAnsi="Times New Roman" w:cs="Times New Roman"/>
              </w:rPr>
              <w:t xml:space="preserve"> объем закупок инновационной продукции, высокотехнологичной продукции, которые планируется осуществить в соответствии с проектом плана закупки товаров, работ, услуг или проектом плана закупки инновационной продукции, высокотехнологичной продукции, лекарств</w:t>
            </w:r>
            <w:r>
              <w:rPr>
                <w:rFonts w:ascii="Times New Roman" w:eastAsia="Times New Roman" w:hAnsi="Times New Roman" w:cs="Times New Roman"/>
              </w:rPr>
              <w:t>енных средств (в части первого года его реализации) либо указанными утвержденными планами (с учетом изменений, которые не представлялись для оценки соответствия или мониторинга соответствия), составляет 0,00 рублей.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Совокупный годовой объем планируемых за</w:t>
            </w:r>
            <w:r>
              <w:rPr>
                <w:rFonts w:ascii="Times New Roman" w:eastAsia="Times New Roman" w:hAnsi="Times New Roman" w:cs="Times New Roman"/>
              </w:rPr>
              <w:t>купок товаров (работ, услуг), которые исключаются при расчете годового объема закупки инновационной продукции, высокотехнологичной продукции, которые планируется осуществить по результатам закупки товаров (работ, услуг), участниками которой являются только</w:t>
            </w:r>
            <w:r>
              <w:rPr>
                <w:rFonts w:ascii="Times New Roman" w:eastAsia="Times New Roman" w:hAnsi="Times New Roman" w:cs="Times New Roman"/>
              </w:rPr>
              <w:t xml:space="preserve"> субъекты малого и среднего предпринимательства, составляет 0,00 рублей.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Годовой объем закупок инновационной продукции, высокотехнологичной продукции, которые планируется осуществить в соответствии с проектом плана закупки товаров, работ, услуг или проект</w:t>
            </w:r>
            <w:r>
              <w:rPr>
                <w:rFonts w:ascii="Times New Roman" w:eastAsia="Times New Roman" w:hAnsi="Times New Roman" w:cs="Times New Roman"/>
              </w:rPr>
              <w:t>ом плана закупки инновационной продукции, высокотехнологичной продукции, лекарственных средств (в части первого года его реализации) либо утвержденными указанными планами осуществить по результатам закупок, участниками которых являются только субъекты мало</w:t>
            </w:r>
            <w:r>
              <w:rPr>
                <w:rFonts w:ascii="Times New Roman" w:eastAsia="Times New Roman" w:hAnsi="Times New Roman" w:cs="Times New Roman"/>
              </w:rPr>
              <w:t>го и среднего предпринимательства, составляет 0,00 рублей.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Совокупный годовой стоимостный объем договоров, заключенных заказчиком по результатам закупки инновационной продукции, высокотехнологичной продукции, участниками которой являлись только субъекты м</w:t>
            </w:r>
            <w:r>
              <w:rPr>
                <w:rFonts w:ascii="Times New Roman" w:eastAsia="Times New Roman" w:hAnsi="Times New Roman" w:cs="Times New Roman"/>
              </w:rPr>
              <w:t xml:space="preserve">алого и среднего предпринимательства, за 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</w:t>
            </w:r>
            <w:r>
              <w:rPr>
                <w:rFonts w:ascii="Times New Roman" w:eastAsia="Times New Roman" w:hAnsi="Times New Roman" w:cs="Times New Roman"/>
              </w:rPr>
              <w:t>ции, высокотехнологичной продукции) составляет 6 972 474,41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</w:t>
            </w:r>
            <w:r>
              <w:rPr>
                <w:rFonts w:ascii="Times New Roman" w:eastAsia="Times New Roman" w:hAnsi="Times New Roman" w:cs="Times New Roman"/>
              </w:rPr>
              <w:t>ьтатам закупки товаров, работ, услуг, участниками которой являются только субъекты малого и среднего предпринимательства, составляет 584 860,00 рублей.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Годовой объем закупок, которые планируется осуществить по результатам закупки, участниками которой явля</w:t>
            </w:r>
            <w:r>
              <w:rPr>
                <w:rFonts w:ascii="Times New Roman" w:eastAsia="Times New Roman" w:hAnsi="Times New Roman" w:cs="Times New Roman"/>
              </w:rPr>
              <w:t>ются только субъекты малого и среднего предпринимательства, предусмотренный в части первого года реализации раздела, указанного в пункте 1(1) настоящего документа, составляет 6 318 086,73 рублей (98,91 процентов).</w:t>
            </w:r>
          </w:p>
        </w:tc>
      </w:tr>
    </w:tbl>
    <w:p w:rsidR="00121347" w:rsidRDefault="00121347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"/>
        <w:gridCol w:w="571"/>
        <w:gridCol w:w="850"/>
        <w:gridCol w:w="1593"/>
        <w:gridCol w:w="1014"/>
        <w:gridCol w:w="426"/>
        <w:gridCol w:w="705"/>
        <w:gridCol w:w="850"/>
        <w:gridCol w:w="995"/>
        <w:gridCol w:w="995"/>
        <w:gridCol w:w="1843"/>
        <w:gridCol w:w="850"/>
        <w:gridCol w:w="850"/>
        <w:gridCol w:w="2123"/>
        <w:gridCol w:w="358"/>
        <w:gridCol w:w="821"/>
        <w:gridCol w:w="652"/>
      </w:tblGrid>
      <w:tr w:rsidR="000F5272" w:rsidTr="000F5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Порядковый номер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ОКВЭД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16"/>
              </w:rPr>
              <w:t>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proofErr w:type="gramEnd"/>
          </w:p>
        </w:tc>
        <w:tc>
          <w:tcPr>
            <w:tcW w:w="3600" w:type="dxa"/>
            <w:gridSpan w:val="10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Условия договора</w:t>
            </w:r>
          </w:p>
        </w:tc>
        <w:tc>
          <w:tcPr>
            <w:tcW w:w="2200" w:type="dxa"/>
            <w:vMerge w:val="restart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Способ закупки</w:t>
            </w:r>
          </w:p>
        </w:tc>
        <w:tc>
          <w:tcPr>
            <w:tcW w:w="37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в электронной форме (Да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ет)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Объем финансового обеспечения закупки за счет средств субсидии, предоставляемой в целях реализации национальных и федеральных проектов, комплексного плана модернизации и </w:t>
            </w:r>
            <w:r>
              <w:rPr>
                <w:rFonts w:ascii="Times New Roman" w:eastAsia="Times New Roman" w:hAnsi="Times New Roman" w:cs="Times New Roman"/>
                <w:sz w:val="16"/>
              </w:rPr>
              <w:t>расширения магистральной инфраструктуры*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целевой статьи расходов, код вида расходов*</w:t>
            </w:r>
          </w:p>
        </w:tc>
      </w:tr>
      <w:tr w:rsidR="000F5272" w:rsidTr="000F5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165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 договора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Минимально необходимые требования, предъявляемые к закупаемым товарам, работам</w:t>
            </w:r>
          </w:p>
        </w:tc>
        <w:tc>
          <w:tcPr>
            <w:tcW w:w="1170" w:type="dxa"/>
            <w:gridSpan w:val="2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Единица измерения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количестве (объеме)</w:t>
            </w:r>
          </w:p>
        </w:tc>
        <w:tc>
          <w:tcPr>
            <w:tcW w:w="2060" w:type="dxa"/>
            <w:gridSpan w:val="2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Регион поставки </w:t>
            </w:r>
            <w:r>
              <w:rPr>
                <w:rFonts w:ascii="Times New Roman" w:eastAsia="Times New Roman" w:hAnsi="Times New Roman" w:cs="Times New Roman"/>
                <w:sz w:val="16"/>
              </w:rPr>
              <w:t>товаров, выполнения работ, оказания услуг</w:t>
            </w:r>
          </w:p>
        </w:tc>
        <w:tc>
          <w:tcPr>
            <w:tcW w:w="1910" w:type="dxa"/>
            <w:vMerge w:val="restart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1760" w:type="dxa"/>
            <w:gridSpan w:val="2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График осуществления процедур закупки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44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ОКЕИ</w:t>
            </w:r>
          </w:p>
        </w:tc>
        <w:tc>
          <w:tcPr>
            <w:tcW w:w="73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103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ОКАТО</w:t>
            </w:r>
          </w:p>
        </w:tc>
        <w:tc>
          <w:tcPr>
            <w:tcW w:w="103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88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Планируемая дата или период размещения извещения </w:t>
            </w:r>
            <w:r>
              <w:rPr>
                <w:rFonts w:ascii="Times New Roman" w:eastAsia="Times New Roman" w:hAnsi="Times New Roman" w:cs="Times New Roman"/>
                <w:sz w:val="16"/>
              </w:rPr>
              <w:t>о закупке (месяц, год)</w:t>
            </w:r>
          </w:p>
        </w:tc>
        <w:tc>
          <w:tcPr>
            <w:tcW w:w="880" w:type="dxa"/>
            <w:textDirection w:val="btLr"/>
            <w:vAlign w:val="center"/>
          </w:tcPr>
          <w:p w:rsidR="00121347" w:rsidRDefault="004F39F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Срок исполнения договора (месяц, год)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</w:tbl>
    <w:p w:rsidR="00121347" w:rsidRDefault="004F39F6">
      <w:pPr>
        <w:spacing w:after="0" w:line="20" w:lineRule="exact"/>
      </w:pPr>
      <w:r>
        <w:rPr>
          <w:sz w:val="2"/>
        </w:rPr>
        <w:t xml:space="preserve">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566"/>
        <w:gridCol w:w="843"/>
        <w:gridCol w:w="1580"/>
        <w:gridCol w:w="1006"/>
        <w:gridCol w:w="423"/>
        <w:gridCol w:w="700"/>
        <w:gridCol w:w="843"/>
        <w:gridCol w:w="987"/>
        <w:gridCol w:w="987"/>
        <w:gridCol w:w="1829"/>
        <w:gridCol w:w="843"/>
        <w:gridCol w:w="843"/>
        <w:gridCol w:w="2106"/>
        <w:gridCol w:w="356"/>
        <w:gridCol w:w="815"/>
        <w:gridCol w:w="647"/>
      </w:tblGrid>
      <w:tr w:rsidR="00121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7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80.10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80.10.1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охранных услуг  в МАОУ "Школа инженерной мысли им. П.А. Соловьева" г. Перми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осуществление контрольно-пропускного режима;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поддержание общественного порядка в помещении Заказчика и на прилегающей территории для выявления и предотвращения противоправных действий различного характера; обеспечение сохранности имущества и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Заказчика, антитеррористическ</w:t>
            </w:r>
            <w:r>
              <w:rPr>
                <w:rFonts w:ascii="Times New Roman" w:eastAsia="Times New Roman" w:hAnsi="Times New Roman" w:cs="Times New Roman"/>
                <w:sz w:val="16"/>
              </w:rPr>
              <w:t>ой защищенности и соблюдению на объекте правил пожарной безопасности.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356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Час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11 500,19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4 045 559,84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- 1 992 840,00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- 146 196,00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</w:t>
            </w:r>
            <w:r>
              <w:rPr>
                <w:rFonts w:ascii="Times New Roman" w:eastAsia="Times New Roman" w:hAnsi="Times New Roman" w:cs="Times New Roman"/>
                <w:sz w:val="16"/>
              </w:rPr>
              <w:t>2022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8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62.02.30.000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технической поддержке сайта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требованиями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установленными в договоре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67 200,00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- 61 600,00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- 5 600,00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33.12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33.12.29.900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технической эксплуатации узла учета тепловой энергии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20 400,00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t>2023 г. - 18 700,00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- 1 700,00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95.11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95.11.10.190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обслуживанию компьютерной техники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Услуги оказываются в соответствии с Договором осуществление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t>технического обслуживания и ремонта оборудования в строгом соответствии с установленной эксплуатационной документацией заводом-изготовителем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164 000,00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</w:t>
            </w:r>
            <w:r>
              <w:rPr>
                <w:rFonts w:ascii="Times New Roman" w:eastAsia="Times New Roman" w:hAnsi="Times New Roman" w:cs="Times New Roman"/>
                <w:sz w:val="16"/>
              </w:rPr>
              <w:t>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- 149 000,00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- 15 000,00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81.29.11.00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биотехнических работ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выполняются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3.3686-21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055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Квадратн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ый метр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14 423,00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Пермский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край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80 130,61 Российский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- 73 873,73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- 6 256,88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11.2022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поставщика (подряд</w:t>
            </w:r>
            <w:r>
              <w:rPr>
                <w:rFonts w:ascii="Times New Roman" w:eastAsia="Times New Roman" w:hAnsi="Times New Roman" w:cs="Times New Roman"/>
                <w:sz w:val="16"/>
              </w:rPr>
              <w:t>чика, исполнителя)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Нет</w:t>
            </w:r>
          </w:p>
        </w:tc>
        <w:tc>
          <w:tcPr>
            <w:tcW w:w="360" w:type="dxa"/>
            <w:vMerge w:val="restart"/>
          </w:tcPr>
          <w:p w:rsidR="00121347" w:rsidRDefault="00121347"/>
        </w:tc>
        <w:tc>
          <w:tcPr>
            <w:tcW w:w="360" w:type="dxa"/>
            <w:vMerge w:val="restart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81.29.11.000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055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Квадратный метр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8 938,40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80.20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80.20.10.000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Комплексная защита объекта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Поддержание в работоспособном состоянии систем видеонаблюдения, охранной и пожарной сигнализаций 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306 000,00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- 280 500,00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- 25 000,00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121347" w:rsidRDefault="00121347"/>
        </w:tc>
        <w:tc>
          <w:tcPr>
            <w:tcW w:w="360" w:type="dxa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81.10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81.10.10.000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комплексной уборке помещений и прилегающей территории, гардеробному обслуживанию для МАОУ «Школа инженерной мысли им. П.А. Соловьева» г. Перми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оказываются в соответствии с ГОСТ Р5870-2014 Услуги профессиональной уборки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клининговые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услуги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6 881 300,01 Российский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- 3 741 573,00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- 1 093 851,00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10.2022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01.2024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Конкурс в электронной форме, </w:t>
            </w:r>
            <w:r>
              <w:rPr>
                <w:rFonts w:ascii="Times New Roman" w:eastAsia="Times New Roman" w:hAnsi="Times New Roman" w:cs="Times New Roman"/>
                <w:sz w:val="16"/>
              </w:rPr>
              <w:t>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121347" w:rsidRDefault="00121347"/>
        </w:tc>
        <w:tc>
          <w:tcPr>
            <w:tcW w:w="360" w:type="dxa"/>
            <w:vMerge w:val="restart"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81.29.9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81.29.19.000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81.29.9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81.29.19.000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121347" w:rsidRDefault="004F39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  <w:tc>
          <w:tcPr>
            <w:tcW w:w="360" w:type="dxa"/>
            <w:vMerge/>
          </w:tcPr>
          <w:p w:rsidR="00121347" w:rsidRDefault="00121347"/>
        </w:tc>
      </w:tr>
    </w:tbl>
    <w:p w:rsidR="00121347" w:rsidRDefault="004F39F6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*Указывается при планировании закупки, финансовое обеспечение </w:t>
      </w:r>
      <w:r>
        <w:rPr>
          <w:rFonts w:ascii="Times New Roman" w:eastAsia="Times New Roman" w:hAnsi="Times New Roman" w:cs="Times New Roman"/>
          <w:sz w:val="16"/>
        </w:rPr>
        <w:t>которой осуществляется за счет средств субсидии, предоставляемой в целях реализации национальных и федеральных проектов.</w:t>
      </w:r>
    </w:p>
    <w:p w:rsidR="00121347" w:rsidRDefault="00121347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26"/>
        <w:gridCol w:w="2003"/>
      </w:tblGrid>
      <w:tr w:rsidR="001213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0" w:space="0" w:color="auto"/>
            </w:tcBorders>
            <w:vAlign w:val="center"/>
          </w:tcPr>
          <w:p w:rsidR="00121347" w:rsidRDefault="000F5272">
            <w:pPr>
              <w:spacing w:after="0"/>
              <w:jc w:val="center"/>
            </w:pPr>
            <w:proofErr w:type="spellStart"/>
            <w:r>
              <w:t>Гладнев</w:t>
            </w:r>
            <w:proofErr w:type="spellEnd"/>
            <w:r>
              <w:t xml:space="preserve"> Игорь Алексеевич</w:t>
            </w:r>
          </w:p>
        </w:tc>
        <w:tc>
          <w:tcPr>
            <w:tcW w:w="0" w:type="auto"/>
          </w:tcPr>
          <w:p w:rsidR="00121347" w:rsidRDefault="00121347"/>
        </w:tc>
        <w:tc>
          <w:tcPr>
            <w:tcW w:w="0" w:type="auto"/>
            <w:vAlign w:val="center"/>
          </w:tcPr>
          <w:p w:rsidR="00121347" w:rsidRDefault="004F39F6" w:rsidP="000F52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F5272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»_</w:t>
            </w:r>
            <w:r w:rsidR="000F5272">
              <w:rPr>
                <w:rFonts w:ascii="Times New Roman" w:eastAsia="Times New Roman" w:hAnsi="Times New Roman" w:cs="Times New Roman"/>
              </w:rPr>
              <w:t>декабря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="000F5272">
              <w:rPr>
                <w:rFonts w:ascii="Times New Roman" w:eastAsia="Times New Roman" w:hAnsi="Times New Roman" w:cs="Times New Roman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12134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(Ф.И.О., Должность руководителя (уполномоченного лица) заказчика)</w:t>
            </w:r>
          </w:p>
        </w:tc>
        <w:tc>
          <w:tcPr>
            <w:tcW w:w="0" w:type="auto"/>
          </w:tcPr>
          <w:p w:rsidR="00121347" w:rsidRDefault="00121347"/>
        </w:tc>
        <w:tc>
          <w:tcPr>
            <w:tcW w:w="0" w:type="auto"/>
          </w:tcPr>
          <w:p w:rsidR="00121347" w:rsidRDefault="004F39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(Дата утверждения)</w:t>
            </w:r>
          </w:p>
        </w:tc>
      </w:tr>
    </w:tbl>
    <w:p w:rsidR="004F39F6" w:rsidRDefault="004F39F6"/>
    <w:sectPr w:rsidR="004F39F6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47"/>
    <w:rsid w:val="000F5272"/>
    <w:rsid w:val="00121347"/>
    <w:rsid w:val="004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№41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</cp:revision>
  <dcterms:created xsi:type="dcterms:W3CDTF">2022-12-31T08:44:00Z</dcterms:created>
  <dcterms:modified xsi:type="dcterms:W3CDTF">2022-12-31T08:44:00Z</dcterms:modified>
</cp:coreProperties>
</file>